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FBD11" w14:textId="77777777" w:rsidR="00916E3D" w:rsidRPr="006022A6" w:rsidRDefault="00916E3D" w:rsidP="00916E3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1884FFE2" w14:textId="77777777" w:rsidR="00916E3D" w:rsidRDefault="00916E3D" w:rsidP="00916E3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 xml:space="preserve">Наказ Міністерства охорони </w:t>
      </w:r>
    </w:p>
    <w:p w14:paraId="41593840" w14:textId="77777777" w:rsidR="00916E3D" w:rsidRPr="006022A6" w:rsidRDefault="00916E3D" w:rsidP="00916E3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здоров’я України</w:t>
      </w:r>
    </w:p>
    <w:p w14:paraId="16CFBD1A" w14:textId="546CDA3B" w:rsidR="00916E3D" w:rsidRPr="006022A6" w:rsidRDefault="00916E3D" w:rsidP="00916E3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21722">
        <w:rPr>
          <w:rFonts w:ascii="Times New Roman" w:hAnsi="Times New Roman" w:cs="Times New Roman"/>
          <w:sz w:val="28"/>
          <w:szCs w:val="28"/>
        </w:rPr>
        <w:t>06 травня 2024 року № 782</w:t>
      </w:r>
      <w:bookmarkStart w:id="0" w:name="_GoBack"/>
      <w:bookmarkEnd w:id="0"/>
    </w:p>
    <w:p w14:paraId="53D08C68" w14:textId="77777777" w:rsidR="00916E3D" w:rsidRDefault="00916E3D" w:rsidP="00BA23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5B973" w14:textId="19B1C49D" w:rsidR="00DE6D73" w:rsidRDefault="00BA2336" w:rsidP="00BA23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336">
        <w:rPr>
          <w:rFonts w:ascii="Times New Roman" w:hAnsi="Times New Roman" w:cs="Times New Roman"/>
          <w:b/>
          <w:bCs/>
          <w:sz w:val="28"/>
          <w:szCs w:val="28"/>
        </w:rPr>
        <w:t>ТЕХНОЛОГІЧНА КАРТКА</w:t>
      </w:r>
      <w:r w:rsidRPr="00BA2336">
        <w:rPr>
          <w:rFonts w:ascii="Times New Roman" w:hAnsi="Times New Roman" w:cs="Times New Roman"/>
          <w:sz w:val="28"/>
          <w:szCs w:val="28"/>
        </w:rPr>
        <w:br/>
      </w:r>
      <w:r w:rsidRPr="00BA2336">
        <w:rPr>
          <w:rFonts w:ascii="Times New Roman" w:hAnsi="Times New Roman" w:cs="Times New Roman"/>
          <w:b/>
          <w:bCs/>
          <w:sz w:val="28"/>
          <w:szCs w:val="28"/>
        </w:rPr>
        <w:t xml:space="preserve">адміністративної послуги </w:t>
      </w:r>
      <w:r w:rsidR="006618C8" w:rsidRPr="006618C8">
        <w:rPr>
          <w:rFonts w:ascii="Times New Roman" w:hAnsi="Times New Roman" w:cs="Times New Roman"/>
          <w:b/>
          <w:bCs/>
          <w:sz w:val="28"/>
          <w:szCs w:val="28"/>
        </w:rPr>
        <w:t>з видачі реєстраційного посвідчення на лікарський засіб та реєстраційного посвідчення на лікарський засіб (медичний імунобіологічний препарат)</w:t>
      </w:r>
    </w:p>
    <w:p w14:paraId="4FCBC7C7" w14:textId="7BFFEB67" w:rsidR="00BA2336" w:rsidRDefault="00BA2336" w:rsidP="00BA23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2"/>
        <w:gridCol w:w="3253"/>
        <w:gridCol w:w="3639"/>
        <w:gridCol w:w="2259"/>
      </w:tblGrid>
      <w:tr w:rsidR="00916E3D" w:rsidRPr="006618C8" w14:paraId="50B8A535" w14:textId="77777777" w:rsidTr="00916E3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D7F64" w14:textId="77777777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D0D78" w14:textId="77777777" w:rsidR="00916E3D" w:rsidRPr="006618C8" w:rsidRDefault="00916E3D" w:rsidP="0091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Етапи послуги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AB565" w14:textId="77777777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E6C2C" w14:textId="77777777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 виконання (днів)</w:t>
            </w:r>
          </w:p>
        </w:tc>
      </w:tr>
      <w:tr w:rsidR="00916E3D" w:rsidRPr="006618C8" w14:paraId="43642017" w14:textId="77777777" w:rsidTr="00916E3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6B832" w14:textId="77777777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53D1D" w14:textId="77777777" w:rsidR="00916E3D" w:rsidRPr="006618C8" w:rsidRDefault="00916E3D" w:rsidP="0091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Прийом заяви на державну реєстрацію, перереєстрацію лікарського засобу або внесення змін до реєстраційних матеріалів протягом дії реєстраційного посвідчення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67167" w14:textId="77777777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Адміністратор Центру адміністративних послуг МОЗ України "Єдине вікно" (далі - ЦАП)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63C6D" w14:textId="77777777" w:rsidR="00916E3D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1-го робочого дня</w:t>
            </w:r>
          </w:p>
          <w:p w14:paraId="6A75C71A" w14:textId="3464B933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916E3D" w:rsidRPr="006618C8" w14:paraId="757C860F" w14:textId="77777777" w:rsidTr="00916E3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DE8E" w14:textId="77777777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9E360" w14:textId="77777777" w:rsidR="00916E3D" w:rsidRPr="006618C8" w:rsidRDefault="00916E3D" w:rsidP="0091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Занесення інформації про подану до МОЗ України заяву до електронної бази даних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4A207" w14:textId="2DABE7CA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Адміністратор ЦАП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FD803" w14:textId="77777777" w:rsidR="00916E3D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1-го робочого дня</w:t>
            </w:r>
          </w:p>
          <w:p w14:paraId="0B632484" w14:textId="76FEE6B8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916E3D" w:rsidRPr="006618C8" w14:paraId="732B6E0C" w14:textId="77777777" w:rsidTr="00916E3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FF0CC" w14:textId="77777777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5ABFB" w14:textId="78D96B04" w:rsidR="00916E3D" w:rsidRPr="006618C8" w:rsidRDefault="00916E3D" w:rsidP="0091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Опрацювання заяви, поданої до Міністерства охорони здоров'я України, на відповідність її вірного оформлення та наявність необхідного пакета документів відповідно </w:t>
            </w: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 xml:space="preserve">Порядку проведення експертизи реєстраційних матеріалів на лікарські засоби, що подаються на державну реєстрацію </w:t>
            </w:r>
            <w:r w:rsidRPr="00F55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(перереєстрацію), а також експертизи матеріалів про внесення змін до реєстраційних матеріалів протягом дії реєстраційного посвідчення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, затвердженого наказом Міністерства охорони здоров'я України від 26 серпня 2005 № 426 (далі - Порядок проведення експертизи), зареєстрованому у Міністерстві юстиції України від 19 вересня 2005 року за № 1069/11349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3AF46" w14:textId="7DD1C232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Адміністратор ЦАП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73ACB" w14:textId="77777777" w:rsidR="00916E3D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1 - 2 робочих днів</w:t>
            </w:r>
          </w:p>
          <w:p w14:paraId="2F232ABD" w14:textId="62B758B5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916E3D" w:rsidRPr="006618C8" w14:paraId="3ADC51D2" w14:textId="77777777" w:rsidTr="00916E3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9B6F2" w14:textId="77777777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C5408" w14:textId="75605F75" w:rsidR="00916E3D" w:rsidRPr="006618C8" w:rsidRDefault="00916E3D" w:rsidP="0091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Підготовка листа-направлення МОЗ України до ДП "Державний експертний центр МОЗ України" (далі - Центр) на експертизу, занесення листа-направлення до електронної бази даних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9743D" w14:textId="77777777" w:rsidR="00916E3D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Спеціалісти </w:t>
            </w:r>
            <w:r w:rsidRPr="00C91547">
              <w:rPr>
                <w:rFonts w:ascii="Times New Roman" w:hAnsi="Times New Roman" w:cs="Times New Roman"/>
                <w:sz w:val="28"/>
                <w:szCs w:val="28"/>
              </w:rPr>
              <w:t>Фармацевтичного управління</w:t>
            </w:r>
          </w:p>
          <w:p w14:paraId="1026791B" w14:textId="7FD92738" w:rsidR="00916E3D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  <w:p w14:paraId="041082E3" w14:textId="7A820179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Адміністратор ЦАП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C4401" w14:textId="77777777" w:rsidR="00916E3D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2-го робочого дня</w:t>
            </w:r>
          </w:p>
          <w:p w14:paraId="4A51B011" w14:textId="6A49D492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916E3D" w:rsidRPr="006618C8" w14:paraId="1E22196F" w14:textId="77777777" w:rsidTr="00916E3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70DEE" w14:textId="2ABECD36" w:rsidR="00916E3D" w:rsidRPr="00F55964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E4876" w14:textId="77777777" w:rsidR="00916E3D" w:rsidRPr="00F55964" w:rsidRDefault="00916E3D" w:rsidP="0091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>Передача листа-направлення МОЗ України до Центру на проведення експертизи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ED161" w14:textId="0010B6D1" w:rsidR="00916E3D" w:rsidRPr="00F55964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>Спеціалісти Фармацевтичного управління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EFE57" w14:textId="77777777" w:rsidR="00916E3D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>Протягом 3-го робочого дня</w:t>
            </w:r>
          </w:p>
          <w:p w14:paraId="27BD2430" w14:textId="74502219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916E3D" w:rsidRPr="006618C8" w14:paraId="2A223A22" w14:textId="77777777" w:rsidTr="00916E3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6828E" w14:textId="6DC1BB02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B4326" w14:textId="202641E6" w:rsidR="00916E3D" w:rsidRPr="006618C8" w:rsidRDefault="00916E3D" w:rsidP="0091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У разі виявлення за результатами опрацювання заяви невідповідності у оформленні заяви або відсутності необхідних документів, визначених </w:t>
            </w: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 xml:space="preserve">Порядком </w:t>
            </w:r>
            <w:r w:rsidRPr="00F55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проведення експертизи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, - підготовка заявнику листа-відмови у розгляді заяви МОЗ України та занесення листа-відмови до електронної бази даних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BE02C" w14:textId="738B0897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Спеціалісти </w:t>
            </w:r>
            <w:r w:rsidRPr="00C91547">
              <w:rPr>
                <w:rFonts w:ascii="Times New Roman" w:hAnsi="Times New Roman" w:cs="Times New Roman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F051C" w14:textId="77777777" w:rsidR="00916E3D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2-го робочого дня</w:t>
            </w:r>
          </w:p>
          <w:p w14:paraId="0C04AB09" w14:textId="4E93F92F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916E3D" w:rsidRPr="006618C8" w14:paraId="4DCBEBD5" w14:textId="77777777" w:rsidTr="00916E3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CF739" w14:textId="219A69A8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553D9" w14:textId="287CC9BB" w:rsidR="00916E3D" w:rsidRPr="006618C8" w:rsidRDefault="00916E3D" w:rsidP="0091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листа-відмови у розгляді заяви на підпис керівнику </w:t>
            </w:r>
            <w:r w:rsidRPr="00C91547">
              <w:rPr>
                <w:rFonts w:ascii="Times New Roman" w:hAnsi="Times New Roman" w:cs="Times New Roman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E7556" w14:textId="62FB383C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Спеціалісти </w:t>
            </w:r>
            <w:r w:rsidRPr="00C91547">
              <w:rPr>
                <w:rFonts w:ascii="Times New Roman" w:hAnsi="Times New Roman" w:cs="Times New Roman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3B1FE" w14:textId="77777777" w:rsidR="00916E3D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2-го робочого дня</w:t>
            </w:r>
          </w:p>
          <w:p w14:paraId="6CE950C1" w14:textId="77901AC9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916E3D" w:rsidRPr="006618C8" w14:paraId="26669D15" w14:textId="77777777" w:rsidTr="00916E3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31DA0" w14:textId="54F48392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45566" w14:textId="46AF8F7F" w:rsidR="00916E3D" w:rsidRPr="006618C8" w:rsidRDefault="00916E3D" w:rsidP="0091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Підписання листа-відмови керівником </w:t>
            </w:r>
            <w:r w:rsidRPr="00C91547">
              <w:rPr>
                <w:rFonts w:ascii="Times New Roman" w:hAnsi="Times New Roman" w:cs="Times New Roman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CEE78" w14:textId="7744530E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C91547">
              <w:rPr>
                <w:rFonts w:ascii="Times New Roman" w:hAnsi="Times New Roman" w:cs="Times New Roman"/>
                <w:sz w:val="28"/>
                <w:szCs w:val="28"/>
              </w:rPr>
              <w:t xml:space="preserve">Фармацевтичного управління 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МОЗ України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AE0FA" w14:textId="77777777" w:rsidR="00916E3D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3-го робочого дня</w:t>
            </w:r>
          </w:p>
          <w:p w14:paraId="0F4D5FF3" w14:textId="2374F9AE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(погодження)</w:t>
            </w:r>
          </w:p>
        </w:tc>
      </w:tr>
      <w:tr w:rsidR="00916E3D" w:rsidRPr="006618C8" w14:paraId="0FC1C387" w14:textId="77777777" w:rsidTr="00916E3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5041F" w14:textId="153F8740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BFCC4" w14:textId="77777777" w:rsidR="00916E3D" w:rsidRPr="006618C8" w:rsidRDefault="00916E3D" w:rsidP="0091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Передача підписаного листа-відмови у розгляді заяви заявнику через Центр адміністративних послуг МОЗ України "Єдине вікно"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CCD70" w14:textId="77777777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Адміністратор ЦАП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EC921" w14:textId="77777777" w:rsidR="00916E3D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3-го робочого дня</w:t>
            </w:r>
          </w:p>
          <w:p w14:paraId="3107B544" w14:textId="1016CD29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916E3D" w:rsidRPr="006618C8" w14:paraId="684D316E" w14:textId="77777777" w:rsidTr="00916E3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ECF2B" w14:textId="06E2C202" w:rsidR="00916E3D" w:rsidRPr="00F55964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E527A" w14:textId="1219B79B" w:rsidR="00916E3D" w:rsidRPr="00F55964" w:rsidRDefault="00916E3D" w:rsidP="0091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>Здійснення експертизи реєстраційних матеріалів після надходження до Центру реєстраційних матеріалів від заявника відповідно до Порядку проведення експертизи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EF274" w14:textId="77777777" w:rsidR="00916E3D" w:rsidRPr="00F55964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>Спеціалісти (експерти) ДП "Державний експертний центр МОЗ України"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CC2B0" w14:textId="77777777" w:rsidR="00916E3D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>У разі:</w:t>
            </w:r>
            <w:r w:rsidRPr="00F55964">
              <w:rPr>
                <w:rFonts w:ascii="Times New Roman" w:hAnsi="Times New Roman" w:cs="Times New Roman"/>
                <w:sz w:val="28"/>
                <w:szCs w:val="28"/>
              </w:rPr>
              <w:br/>
              <w:t>1) реєстрації лікарських засобів - 210 робочих днів;</w:t>
            </w:r>
            <w:r w:rsidRPr="00F55964">
              <w:rPr>
                <w:rFonts w:ascii="Times New Roman" w:hAnsi="Times New Roman" w:cs="Times New Roman"/>
                <w:sz w:val="28"/>
                <w:szCs w:val="28"/>
              </w:rPr>
              <w:br/>
              <w:t>2) перереєстрації лікарських засобів - 90 робочих днів;</w:t>
            </w:r>
            <w:r w:rsidRPr="00F55964">
              <w:rPr>
                <w:rFonts w:ascii="Times New Roman" w:hAnsi="Times New Roman" w:cs="Times New Roman"/>
                <w:sz w:val="28"/>
                <w:szCs w:val="28"/>
              </w:rPr>
              <w:br/>
              <w:t>3) внесення змін до реєстраційних матеріалів - 60 робочих днів</w:t>
            </w:r>
          </w:p>
          <w:p w14:paraId="3917FCE2" w14:textId="66E595CE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916E3D" w:rsidRPr="006618C8" w14:paraId="405AB509" w14:textId="77777777" w:rsidTr="00916E3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E462A" w14:textId="6A7F80AA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6A71A" w14:textId="77777777" w:rsidR="00916E3D" w:rsidRPr="006618C8" w:rsidRDefault="00916E3D" w:rsidP="0091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Складання та направлення до МОЗ України вмотивованих висновків щодо ефективності, безпеки та якості лікарського засобу після завершення спеціалізованої експертизи Центром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5755F" w14:textId="77777777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Спеціалісти (експерти) ДП "Державний експертний центр МОЗ України"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C2ADA" w14:textId="77777777" w:rsidR="00916E3D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5 робочих днів</w:t>
            </w:r>
          </w:p>
          <w:p w14:paraId="0B791D03" w14:textId="26E4E562" w:rsidR="00916E3D" w:rsidRPr="006618C8" w:rsidRDefault="00916E3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916E3D" w:rsidRPr="006618C8" w14:paraId="5C74CAD6" w14:textId="77777777" w:rsidTr="00916E3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CDDC0" w14:textId="258473B7" w:rsidR="00916E3D" w:rsidRPr="006618C8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3F21B" w14:textId="12692536" w:rsidR="00916E3D" w:rsidRPr="006618C8" w:rsidRDefault="00916E3D" w:rsidP="0091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Опрацювання 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вмотивованих висновків щодо ефективності, безпеки та якості лікарського засобу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підготовлених Центром, та підготовка проекту наказу МОЗ для прийняття рішення МОЗ 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щодо державної реєстрації, перереєстрації або внесення змін до реєстраційних матеріалів, або про відмову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такій 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BCA1A" w14:textId="7A1BB82D" w:rsidR="00916E3D" w:rsidRPr="006618C8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Спеціалісти </w:t>
            </w:r>
            <w:r w:rsidRPr="00C91547">
              <w:rPr>
                <w:rFonts w:ascii="Times New Roman" w:hAnsi="Times New Roman" w:cs="Times New Roman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2FDA8" w14:textId="77777777" w:rsidR="00916E3D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місяця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дня отримання вмотивованих висновків</w:t>
            </w:r>
          </w:p>
          <w:p w14:paraId="3B37884D" w14:textId="044A08E6" w:rsidR="00916E3D" w:rsidRPr="006618C8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916E3D" w:rsidRPr="006618C8" w14:paraId="052C6917" w14:textId="77777777" w:rsidTr="00916E3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FF5E7" w14:textId="64BE5475" w:rsidR="00916E3D" w:rsidRPr="006618C8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9A4BE" w14:textId="77777777" w:rsidR="00916E3D" w:rsidRPr="006618C8" w:rsidRDefault="00916E3D" w:rsidP="0091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Прийняття рішення МОЗ України щодо державної реєстрації, перереєстрації або внесення змін до реєстраційних матеріалів, або про відмову в державній реєстрації, перереєстрації або внесенні змін до реєстраційних матеріалів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1D062" w14:textId="77777777" w:rsidR="00916E3D" w:rsidRPr="006618C8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Керівництво МОЗ України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8AD71" w14:textId="77777777" w:rsidR="00916E3D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місяця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дня отримання вмотивованих висновків</w:t>
            </w:r>
          </w:p>
          <w:p w14:paraId="3182E232" w14:textId="17B1B4DF" w:rsidR="00916E3D" w:rsidRPr="00916E3D" w:rsidRDefault="00916E3D" w:rsidP="001A6E7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16E3D">
              <w:rPr>
                <w:rFonts w:ascii="Times New Roman" w:hAnsi="Times New Roman" w:cs="Times New Roman"/>
                <w:sz w:val="28"/>
                <w:szCs w:val="28"/>
              </w:rPr>
              <w:t>(затвердження)</w:t>
            </w:r>
          </w:p>
        </w:tc>
      </w:tr>
      <w:tr w:rsidR="00916E3D" w:rsidRPr="006618C8" w14:paraId="19AAA80A" w14:textId="77777777" w:rsidTr="00916E3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8516E" w14:textId="41B908EA" w:rsidR="00916E3D" w:rsidRPr="006618C8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893AD" w14:textId="77777777" w:rsidR="00916E3D" w:rsidRPr="006618C8" w:rsidRDefault="00916E3D" w:rsidP="0091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Надання підготовлених реєстраційних посвідчень або вкладки до них на підписання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5F57E" w14:textId="77777777" w:rsidR="00916E3D" w:rsidRPr="006618C8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Спеціалісти (експерти) ДП "Державний експертний центр МОЗ України"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190F2" w14:textId="77777777" w:rsidR="00916E3D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3 робочих днів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14:paraId="615F2210" w14:textId="72528AD3" w:rsidR="00916E3D" w:rsidRPr="006618C8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916E3D" w:rsidRPr="006618C8" w14:paraId="01A6D737" w14:textId="77777777" w:rsidTr="00916E3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D5482" w14:textId="47D6859B" w:rsidR="00916E3D" w:rsidRPr="006618C8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FE701" w14:textId="77777777" w:rsidR="00916E3D" w:rsidRPr="006618C8" w:rsidRDefault="00916E3D" w:rsidP="0091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Підписання реєстраційних посвідчень або вкладки до них на підписання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DDACC" w14:textId="78F311ED" w:rsidR="00916E3D" w:rsidRPr="006618C8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 xml:space="preserve">Фармацевтичного управління 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МОЗ України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E93EF" w14:textId="77777777" w:rsidR="00916E3D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3 - 6 робочих днів</w:t>
            </w:r>
          </w:p>
          <w:p w14:paraId="0C5706A6" w14:textId="444F731F" w:rsidR="00916E3D" w:rsidRPr="00916E3D" w:rsidRDefault="00916E3D" w:rsidP="001A6E7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16E3D">
              <w:rPr>
                <w:rFonts w:ascii="Times New Roman" w:hAnsi="Times New Roman" w:cs="Times New Roman"/>
                <w:sz w:val="28"/>
                <w:szCs w:val="28"/>
              </w:rPr>
              <w:t>(погодження)</w:t>
            </w:r>
          </w:p>
        </w:tc>
      </w:tr>
      <w:tr w:rsidR="00916E3D" w:rsidRPr="006618C8" w14:paraId="4E22FA24" w14:textId="77777777" w:rsidTr="00916E3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B0256" w14:textId="52BFCBC1" w:rsidR="00916E3D" w:rsidRPr="006618C8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5A7A2" w14:textId="77777777" w:rsidR="00916E3D" w:rsidRPr="006618C8" w:rsidRDefault="00916E3D" w:rsidP="0091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Передача підписаних та затверджених реєстраційних документів до Центру адміністративних послуг МОЗ України "Єдине вікно" для видачі заявнику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CEA1C" w14:textId="77777777" w:rsidR="00916E3D" w:rsidRPr="006618C8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Спеціалісти (експерти) ДП "Державний експертний центр МОЗ України"; Адміністратор ЦАП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BC63D" w14:textId="77777777" w:rsidR="00916E3D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6-го робочого дня</w:t>
            </w:r>
          </w:p>
          <w:p w14:paraId="7FDFF766" w14:textId="2D00D3B9" w:rsidR="00916E3D" w:rsidRPr="006618C8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916E3D" w:rsidRPr="006618C8" w14:paraId="270CBDD7" w14:textId="77777777" w:rsidTr="00916E3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31B1C" w14:textId="34EE80D8" w:rsidR="00916E3D" w:rsidRPr="006618C8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3C774" w14:textId="77777777" w:rsidR="00916E3D" w:rsidRPr="006618C8" w:rsidRDefault="00916E3D" w:rsidP="0091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Видача документів заявнику у Центрі адміністративних послуг МОЗ України "Єдине вікно"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79585" w14:textId="77777777" w:rsidR="00916E3D" w:rsidRPr="006618C8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Адміністратор ЦАП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BD44C" w14:textId="77777777" w:rsidR="00916E3D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6 - 10 робочих днів</w:t>
            </w:r>
          </w:p>
          <w:p w14:paraId="63D615BC" w14:textId="46FC55E7" w:rsidR="00916E3D" w:rsidRPr="006618C8" w:rsidRDefault="00916E3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</w:tbl>
    <w:p w14:paraId="28A2E00E" w14:textId="77777777" w:rsidR="00916E3D" w:rsidRPr="005763C9" w:rsidRDefault="00916E3D" w:rsidP="00916E3D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1" w:name="n71"/>
      <w:bookmarkStart w:id="2" w:name="_Hlk165558454"/>
      <w:bookmarkEnd w:id="1"/>
      <w:r w:rsidRPr="00576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Примітка.</w:t>
      </w:r>
      <w:r w:rsidRPr="0057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Прийом та реєстрація заяв не здійснюється під час повітряних </w:t>
      </w:r>
      <w:proofErr w:type="spellStart"/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тривог</w:t>
      </w:r>
      <w:proofErr w:type="spellEnd"/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при відсутності електропостачання, зв’язку, з’єднання з мережею Інтернет.</w:t>
      </w:r>
    </w:p>
    <w:p w14:paraId="0B7A4777" w14:textId="77777777" w:rsidR="00916E3D" w:rsidRPr="005763C9" w:rsidRDefault="00916E3D" w:rsidP="00916E3D">
      <w:pPr>
        <w:spacing w:before="100" w:after="100" w:line="240" w:lineRule="auto"/>
        <w:ind w:left="284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Інформацію щодо графіка роботи Центру надання адміністративних послуг МОЗ України «Єдине вікно» розміщено на офіційному </w:t>
      </w:r>
      <w:proofErr w:type="spellStart"/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вебсайті</w:t>
      </w:r>
      <w:proofErr w:type="spellEnd"/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МОЗ у розділі «</w:t>
      </w:r>
      <w:hyperlink r:id="rId6" w:history="1">
        <w:r w:rsidRPr="005763C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Головна</w:t>
        </w:r>
      </w:hyperlink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hyperlink r:id="rId7" w:history="1">
        <w:r w:rsidRPr="005763C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Довідник</w:t>
        </w:r>
      </w:hyperlink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Єдине вікно», за посиланням (https://moz.gov.ua/edine-vikno).</w:t>
      </w:r>
    </w:p>
    <w:bookmarkEnd w:id="2"/>
    <w:p w14:paraId="6D14538E" w14:textId="77777777" w:rsidR="00916E3D" w:rsidRDefault="00916E3D" w:rsidP="00916E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D658AF" w14:textId="77777777" w:rsidR="00916E3D" w:rsidRPr="004141B1" w:rsidRDefault="00916E3D" w:rsidP="00916E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1B1">
        <w:rPr>
          <w:rFonts w:ascii="Times New Roman" w:hAnsi="Times New Roman" w:cs="Times New Roman"/>
          <w:b/>
          <w:sz w:val="28"/>
          <w:szCs w:val="28"/>
        </w:rPr>
        <w:t xml:space="preserve">Начальник Фармацевтичного управління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141B1">
        <w:rPr>
          <w:rFonts w:ascii="Times New Roman" w:hAnsi="Times New Roman" w:cs="Times New Roman"/>
          <w:b/>
          <w:sz w:val="28"/>
          <w:szCs w:val="28"/>
        </w:rPr>
        <w:t xml:space="preserve">Тарас ЛЯСКОВСЬКИЙ </w:t>
      </w:r>
    </w:p>
    <w:p w14:paraId="23F6B7FE" w14:textId="77777777" w:rsidR="006618C8" w:rsidRDefault="006618C8" w:rsidP="00BA23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18C8" w:rsidSect="00916E3D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BCF3A" w14:textId="77777777" w:rsidR="00B21570" w:rsidRDefault="00B21570" w:rsidP="00916E3D">
      <w:pPr>
        <w:spacing w:after="0" w:line="240" w:lineRule="auto"/>
      </w:pPr>
      <w:r>
        <w:separator/>
      </w:r>
    </w:p>
  </w:endnote>
  <w:endnote w:type="continuationSeparator" w:id="0">
    <w:p w14:paraId="04D64B75" w14:textId="77777777" w:rsidR="00B21570" w:rsidRDefault="00B21570" w:rsidP="0091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24F65" w14:textId="77777777" w:rsidR="00B21570" w:rsidRDefault="00B21570" w:rsidP="00916E3D">
      <w:pPr>
        <w:spacing w:after="0" w:line="240" w:lineRule="auto"/>
      </w:pPr>
      <w:r>
        <w:separator/>
      </w:r>
    </w:p>
  </w:footnote>
  <w:footnote w:type="continuationSeparator" w:id="0">
    <w:p w14:paraId="567A7F7F" w14:textId="77777777" w:rsidR="00B21570" w:rsidRDefault="00B21570" w:rsidP="0091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7205082"/>
      <w:docPartObj>
        <w:docPartGallery w:val="Page Numbers (Top of Page)"/>
        <w:docPartUnique/>
      </w:docPartObj>
    </w:sdtPr>
    <w:sdtEndPr/>
    <w:sdtContent>
      <w:p w14:paraId="3B7D7F3C" w14:textId="4BC32279" w:rsidR="00916E3D" w:rsidRDefault="00916E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8671A2" w14:textId="77777777" w:rsidR="00916E3D" w:rsidRDefault="00916E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FF"/>
    <w:rsid w:val="00121722"/>
    <w:rsid w:val="001A6E71"/>
    <w:rsid w:val="001B0033"/>
    <w:rsid w:val="002365E9"/>
    <w:rsid w:val="00271DFF"/>
    <w:rsid w:val="003670C7"/>
    <w:rsid w:val="003B3227"/>
    <w:rsid w:val="006618C8"/>
    <w:rsid w:val="00916E3D"/>
    <w:rsid w:val="00980795"/>
    <w:rsid w:val="00B21570"/>
    <w:rsid w:val="00B96B75"/>
    <w:rsid w:val="00BA2336"/>
    <w:rsid w:val="00C91547"/>
    <w:rsid w:val="00DE6D73"/>
    <w:rsid w:val="00F5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E8DD"/>
  <w15:chartTrackingRefBased/>
  <w15:docId w15:val="{A566909A-3DA8-41B9-807A-99AA8137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2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3227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916E3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16E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16E3D"/>
  </w:style>
  <w:style w:type="paragraph" w:styleId="a8">
    <w:name w:val="footer"/>
    <w:basedOn w:val="a"/>
    <w:link w:val="a9"/>
    <w:uiPriority w:val="99"/>
    <w:unhideWhenUsed/>
    <w:rsid w:val="00916E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1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z.gov.ua/dovidn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z.gov.u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3737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Олександрович Бородін</dc:creator>
  <cp:keywords/>
  <dc:description/>
  <cp:lastModifiedBy>Ольга Валеріївна Побережна</cp:lastModifiedBy>
  <cp:revision>6</cp:revision>
  <cp:lastPrinted>2024-05-02T13:24:00Z</cp:lastPrinted>
  <dcterms:created xsi:type="dcterms:W3CDTF">2023-09-12T12:09:00Z</dcterms:created>
  <dcterms:modified xsi:type="dcterms:W3CDTF">2024-05-06T12:41:00Z</dcterms:modified>
</cp:coreProperties>
</file>