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16" w:rsidRPr="0018610E" w:rsidRDefault="009E3916" w:rsidP="0018610E">
      <w:pPr>
        <w:spacing w:line="240" w:lineRule="atLeast"/>
        <w:ind w:left="5580"/>
        <w:contextualSpacing/>
        <w:jc w:val="both"/>
        <w:rPr>
          <w:sz w:val="28"/>
          <w:szCs w:val="28"/>
          <w:lang w:val="uk-UA"/>
        </w:rPr>
      </w:pPr>
      <w:r w:rsidRPr="00AE05DB"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  <w:lang w:val="uk-UA"/>
        </w:rPr>
        <w:br/>
        <w:t>Наказ Міністерства охорони здоров'я України</w:t>
      </w:r>
      <w:bookmarkStart w:id="0" w:name="_GoBack"/>
      <w:bookmarkEnd w:id="0"/>
      <w:r>
        <w:rPr>
          <w:sz w:val="28"/>
          <w:szCs w:val="28"/>
          <w:lang w:val="uk-UA"/>
        </w:rPr>
        <w:br/>
      </w:r>
      <w:r w:rsidR="0018610E">
        <w:rPr>
          <w:sz w:val="28"/>
          <w:szCs w:val="28"/>
          <w:lang w:val="uk-UA"/>
        </w:rPr>
        <w:t>06 травня 2024 року № 782</w:t>
      </w:r>
    </w:p>
    <w:p w:rsidR="00C77530" w:rsidRDefault="00C77530" w:rsidP="009E3916">
      <w:pPr>
        <w:spacing w:line="0" w:lineRule="atLeast"/>
        <w:ind w:left="5579"/>
        <w:contextualSpacing/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EE2FA0" w:rsidRDefault="00EE2FA0" w:rsidP="009E3916">
      <w:pPr>
        <w:spacing w:before="60" w:after="60" w:line="240" w:lineRule="atLeast"/>
        <w:contextualSpacing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ІНФОРМАЦІЙНА КАРТКА</w:t>
      </w:r>
    </w:p>
    <w:p w:rsidR="00E4677A" w:rsidRDefault="009E3916" w:rsidP="009E3916">
      <w:pPr>
        <w:spacing w:before="60" w:after="60" w:line="240" w:lineRule="atLeast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E4677A">
        <w:rPr>
          <w:b/>
          <w:color w:val="000000"/>
          <w:sz w:val="28"/>
          <w:szCs w:val="28"/>
          <w:lang w:val="uk-UA"/>
        </w:rPr>
        <w:t xml:space="preserve"> адміністративної </w:t>
      </w:r>
      <w:bookmarkStart w:id="1" w:name="_Hlk165552626"/>
      <w:r w:rsidRPr="00E4677A">
        <w:rPr>
          <w:b/>
          <w:color w:val="000000"/>
          <w:sz w:val="28"/>
          <w:szCs w:val="28"/>
          <w:lang w:val="uk-UA"/>
        </w:rPr>
        <w:t xml:space="preserve">послуги </w:t>
      </w:r>
      <w:r w:rsidR="007D51FC">
        <w:rPr>
          <w:b/>
          <w:color w:val="000000"/>
          <w:sz w:val="28"/>
          <w:szCs w:val="28"/>
          <w:lang w:val="uk-UA"/>
        </w:rPr>
        <w:t xml:space="preserve">з здійснення </w:t>
      </w:r>
      <w:r w:rsidR="00F37AB7" w:rsidRPr="00E4677A">
        <w:rPr>
          <w:b/>
          <w:sz w:val="28"/>
          <w:szCs w:val="28"/>
          <w:lang w:val="uk-UA"/>
        </w:rPr>
        <w:t>державної реєстрації небезпечн</w:t>
      </w:r>
      <w:r w:rsidR="009B2C41">
        <w:rPr>
          <w:b/>
          <w:sz w:val="28"/>
          <w:szCs w:val="28"/>
          <w:lang w:val="uk-UA"/>
        </w:rPr>
        <w:t xml:space="preserve">их </w:t>
      </w:r>
      <w:r w:rsidR="00F37AB7" w:rsidRPr="00E4677A">
        <w:rPr>
          <w:b/>
          <w:sz w:val="28"/>
          <w:szCs w:val="28"/>
          <w:lang w:val="uk-UA"/>
        </w:rPr>
        <w:t>фактор</w:t>
      </w:r>
      <w:bookmarkEnd w:id="1"/>
      <w:r w:rsidR="009B2C41">
        <w:rPr>
          <w:b/>
          <w:sz w:val="28"/>
          <w:szCs w:val="28"/>
          <w:lang w:val="uk-UA"/>
        </w:rPr>
        <w:t xml:space="preserve">ів </w:t>
      </w:r>
    </w:p>
    <w:p w:rsidR="007D51FC" w:rsidRPr="00E4677A" w:rsidRDefault="007D51FC" w:rsidP="009E3916">
      <w:pPr>
        <w:spacing w:before="60" w:after="60" w:line="240" w:lineRule="atLeast"/>
        <w:contextualSpacing/>
        <w:jc w:val="center"/>
        <w:rPr>
          <w:b/>
          <w:color w:val="000000"/>
          <w:sz w:val="28"/>
          <w:szCs w:val="28"/>
          <w:lang w:val="uk-UA"/>
        </w:rPr>
      </w:pPr>
    </w:p>
    <w:p w:rsidR="009E3916" w:rsidRPr="00E4677A" w:rsidRDefault="009E3916" w:rsidP="009E3916">
      <w:pPr>
        <w:spacing w:before="60" w:after="60" w:line="240" w:lineRule="atLeast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E4677A">
        <w:rPr>
          <w:caps/>
          <w:color w:val="000000"/>
          <w:sz w:val="16"/>
          <w:szCs w:val="16"/>
          <w:lang w:val="uk-UA"/>
        </w:rPr>
        <w:t xml:space="preserve"> </w:t>
      </w:r>
      <w:r w:rsidRPr="00E4677A">
        <w:rPr>
          <w:b/>
          <w:color w:val="000000"/>
          <w:sz w:val="28"/>
          <w:szCs w:val="28"/>
          <w:lang w:val="uk-UA"/>
        </w:rPr>
        <w:t>Міністерство охорони здоров’я України</w:t>
      </w:r>
    </w:p>
    <w:p w:rsidR="009E3916" w:rsidRDefault="009E3916" w:rsidP="009E3916">
      <w:pPr>
        <w:spacing w:before="60" w:after="60" w:line="240" w:lineRule="atLeast"/>
        <w:contextualSpacing/>
        <w:jc w:val="center"/>
        <w:rPr>
          <w:color w:val="000000"/>
          <w:sz w:val="16"/>
          <w:szCs w:val="16"/>
          <w:lang w:val="uk-UA"/>
        </w:rPr>
      </w:pPr>
    </w:p>
    <w:p w:rsidR="009E3916" w:rsidRDefault="009E3916" w:rsidP="009E3916">
      <w:pPr>
        <w:spacing w:before="60" w:after="60" w:line="240" w:lineRule="atLeast"/>
        <w:contextualSpacing/>
        <w:jc w:val="center"/>
        <w:rPr>
          <w:rFonts w:ascii="Verdana" w:hAnsi="Verdana"/>
          <w:color w:val="000000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382"/>
        <w:gridCol w:w="5477"/>
      </w:tblGrid>
      <w:tr w:rsidR="009E3916" w:rsidRPr="0043143B" w:rsidTr="00D1076F">
        <w:trPr>
          <w:trHeight w:val="44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16" w:rsidRPr="00E4677A" w:rsidRDefault="009E3916" w:rsidP="00D46A20">
            <w:pPr>
              <w:spacing w:before="60" w:after="60" w:line="24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4677A">
              <w:rPr>
                <w:b/>
                <w:color w:val="000000"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01601, м. Київ, вул. М. Грушевського, 7 – МОЗ</w:t>
            </w:r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3143B">
              <w:rPr>
                <w:color w:val="000000"/>
                <w:sz w:val="28"/>
                <w:szCs w:val="28"/>
              </w:rPr>
              <w:t xml:space="preserve">Прийом документів МОЗ України: </w:t>
            </w:r>
          </w:p>
          <w:p w:rsidR="009E3916" w:rsidRPr="0043143B" w:rsidRDefault="009E3916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3143B">
              <w:rPr>
                <w:color w:val="000000"/>
                <w:sz w:val="28"/>
                <w:szCs w:val="28"/>
              </w:rPr>
              <w:t>Понеділок –</w:t>
            </w:r>
            <w:r w:rsidR="00D1076F">
              <w:rPr>
                <w:color w:val="000000"/>
                <w:sz w:val="28"/>
                <w:szCs w:val="28"/>
              </w:rPr>
              <w:t xml:space="preserve"> п</w:t>
            </w:r>
            <w:r w:rsidR="00D1076F" w:rsidRPr="0043143B">
              <w:rPr>
                <w:color w:val="000000"/>
                <w:sz w:val="28"/>
                <w:szCs w:val="28"/>
              </w:rPr>
              <w:t>’ятниця</w:t>
            </w:r>
            <w:r w:rsidR="00D1076F" w:rsidRPr="00D1076F">
              <w:rPr>
                <w:color w:val="000000"/>
                <w:sz w:val="28"/>
                <w:szCs w:val="28"/>
                <w:lang w:val="ru-RU"/>
              </w:rPr>
              <w:t xml:space="preserve"> з 0</w:t>
            </w:r>
            <w:r w:rsidR="00D1076F">
              <w:rPr>
                <w:color w:val="000000"/>
                <w:sz w:val="28"/>
                <w:szCs w:val="28"/>
                <w:lang w:val="ru-RU"/>
              </w:rPr>
              <w:t>9</w:t>
            </w:r>
            <w:r w:rsidR="00D1076F" w:rsidRPr="00D1076F">
              <w:rPr>
                <w:color w:val="000000"/>
                <w:sz w:val="28"/>
                <w:szCs w:val="28"/>
                <w:lang w:val="ru-RU"/>
              </w:rPr>
              <w:t>:00 до 1</w:t>
            </w:r>
            <w:r w:rsidR="00D1076F">
              <w:rPr>
                <w:color w:val="000000"/>
                <w:sz w:val="28"/>
                <w:szCs w:val="28"/>
                <w:lang w:val="ru-RU"/>
              </w:rPr>
              <w:t>8</w:t>
            </w:r>
            <w:r w:rsidR="00D1076F" w:rsidRPr="00D1076F">
              <w:rPr>
                <w:color w:val="000000"/>
                <w:sz w:val="28"/>
                <w:szCs w:val="28"/>
                <w:lang w:val="ru-RU"/>
              </w:rPr>
              <w:t>:00</w:t>
            </w:r>
          </w:p>
          <w:p w:rsidR="009E3916" w:rsidRPr="0043143B" w:rsidRDefault="009E3916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3143B">
              <w:rPr>
                <w:color w:val="000000"/>
                <w:sz w:val="28"/>
                <w:szCs w:val="28"/>
              </w:rPr>
              <w:t>Вихідні: субота – неділя</w:t>
            </w:r>
          </w:p>
        </w:tc>
      </w:tr>
      <w:tr w:rsidR="009E3916" w:rsidRPr="0043143B" w:rsidTr="00D1076F">
        <w:trPr>
          <w:trHeight w:val="13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43143B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3143B">
              <w:rPr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.: (044) </w:t>
            </w:r>
            <w:r w:rsidR="00D1076F" w:rsidRPr="00D1076F">
              <w:rPr>
                <w:color w:val="000000"/>
                <w:sz w:val="28"/>
                <w:szCs w:val="28"/>
                <w:lang w:val="uk-UA"/>
              </w:rPr>
              <w:t>253-61-94</w:t>
            </w:r>
            <w:r w:rsidRPr="0043143B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9E3916" w:rsidRPr="0043143B" w:rsidRDefault="009E3916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3143B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 МОЗ України: www.moz.gov.ua, </w:t>
            </w:r>
          </w:p>
          <w:p w:rsidR="009E3916" w:rsidRPr="0043143B" w:rsidRDefault="00056FA7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hyperlink r:id="rId6" w:history="1">
              <w:r w:rsidR="009E3916" w:rsidRPr="0043143B">
                <w:rPr>
                  <w:sz w:val="28"/>
                  <w:szCs w:val="28"/>
                  <w:lang w:val="uk-UA"/>
                </w:rPr>
                <w:t>moz@moz.gov.ua</w:t>
              </w:r>
            </w:hyperlink>
            <w:r w:rsidR="009E3916" w:rsidRPr="0043143B">
              <w:rPr>
                <w:sz w:val="28"/>
                <w:szCs w:val="28"/>
                <w:lang w:val="uk-UA"/>
              </w:rPr>
              <w:t>.</w:t>
            </w:r>
          </w:p>
        </w:tc>
      </w:tr>
      <w:tr w:rsidR="009E3916" w:rsidRPr="0043143B" w:rsidTr="00D1076F">
        <w:trPr>
          <w:trHeight w:val="45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16" w:rsidRPr="00E4677A" w:rsidRDefault="00E4677A" w:rsidP="00D46A20">
            <w:pPr>
              <w:spacing w:before="60" w:after="60" w:line="24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4677A">
              <w:rPr>
                <w:b/>
                <w:color w:val="000000"/>
                <w:sz w:val="28"/>
                <w:szCs w:val="28"/>
                <w:lang w:val="uk-UA"/>
              </w:rPr>
              <w:t>Нормативні а</w:t>
            </w:r>
            <w:proofErr w:type="spellStart"/>
            <w:r w:rsidR="009E3916" w:rsidRPr="00E4677A">
              <w:rPr>
                <w:b/>
                <w:color w:val="000000"/>
                <w:sz w:val="28"/>
                <w:szCs w:val="28"/>
              </w:rPr>
              <w:t>кти</w:t>
            </w:r>
            <w:proofErr w:type="spellEnd"/>
            <w:r w:rsidR="009E3916" w:rsidRPr="00E4677A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E4677A">
              <w:rPr>
                <w:b/>
                <w:color w:val="000000"/>
                <w:sz w:val="28"/>
                <w:szCs w:val="28"/>
                <w:lang w:val="uk-UA"/>
              </w:rPr>
              <w:t>якими</w:t>
            </w:r>
            <w:r w:rsidR="009E3916" w:rsidRPr="00E4677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3916" w:rsidRPr="00E4677A">
              <w:rPr>
                <w:b/>
                <w:color w:val="000000"/>
                <w:sz w:val="28"/>
                <w:szCs w:val="28"/>
              </w:rPr>
              <w:t>регл</w:t>
            </w:r>
            <w:r w:rsidRPr="00E4677A">
              <w:rPr>
                <w:b/>
                <w:color w:val="000000"/>
                <w:sz w:val="28"/>
                <w:szCs w:val="28"/>
                <w:lang w:val="uk-UA"/>
              </w:rPr>
              <w:t>аментуються</w:t>
            </w:r>
            <w:proofErr w:type="spellEnd"/>
            <w:r w:rsidR="009E3916" w:rsidRPr="00E4677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3916" w:rsidRPr="00E4677A">
              <w:rPr>
                <w:b/>
                <w:color w:val="000000"/>
                <w:sz w:val="28"/>
                <w:szCs w:val="28"/>
              </w:rPr>
              <w:t>надання</w:t>
            </w:r>
            <w:proofErr w:type="spellEnd"/>
            <w:r w:rsidR="009E3916" w:rsidRPr="00E4677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3916" w:rsidRPr="00E4677A">
              <w:rPr>
                <w:b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="009E3916" w:rsidRPr="00E4677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3916" w:rsidRPr="00E4677A">
              <w:rPr>
                <w:b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Default="001F760D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</w:t>
            </w:r>
            <w:r w:rsidR="009E3916" w:rsidRPr="0043143B">
              <w:rPr>
                <w:color w:val="000000"/>
                <w:sz w:val="28"/>
                <w:szCs w:val="28"/>
                <w:lang w:val="uk-UA"/>
              </w:rPr>
              <w:t>татт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 w:rsidR="009E3916" w:rsidRPr="0043143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076F">
              <w:rPr>
                <w:color w:val="000000"/>
                <w:sz w:val="28"/>
                <w:szCs w:val="28"/>
                <w:lang w:val="uk-UA"/>
              </w:rPr>
              <w:t>47</w:t>
            </w:r>
            <w:r w:rsidR="009E3916" w:rsidRPr="0043143B">
              <w:rPr>
                <w:color w:val="000000"/>
                <w:sz w:val="28"/>
                <w:szCs w:val="28"/>
                <w:lang w:val="uk-UA"/>
              </w:rPr>
              <w:t xml:space="preserve"> Закону України «Про </w:t>
            </w:r>
            <w:r w:rsidR="00D1076F">
              <w:rPr>
                <w:color w:val="000000"/>
                <w:sz w:val="28"/>
                <w:szCs w:val="28"/>
                <w:lang w:val="uk-UA"/>
              </w:rPr>
              <w:t>систему громадського здоров’я</w:t>
            </w:r>
            <w:r w:rsidR="009E3916" w:rsidRPr="0043143B">
              <w:rPr>
                <w:color w:val="000000"/>
                <w:sz w:val="28"/>
                <w:szCs w:val="28"/>
                <w:lang w:val="uk-UA"/>
              </w:rPr>
              <w:t>»</w:t>
            </w:r>
            <w:r w:rsidR="00152C5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52C5B" w:rsidRPr="00152C5B" w:rsidRDefault="00152C5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Стаття 1 Закону України «</w:t>
            </w:r>
            <w:r w:rsidRPr="00152C5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52C5B">
              <w:rPr>
                <w:color w:val="000000"/>
                <w:sz w:val="28"/>
                <w:szCs w:val="28"/>
              </w:rPr>
              <w:t>Перелік</w:t>
            </w:r>
            <w:proofErr w:type="spellEnd"/>
            <w:r w:rsidRPr="00152C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C5B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152C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C5B">
              <w:rPr>
                <w:color w:val="000000"/>
                <w:sz w:val="28"/>
                <w:szCs w:val="28"/>
              </w:rPr>
              <w:t>дозвільного</w:t>
            </w:r>
            <w:proofErr w:type="spellEnd"/>
            <w:r w:rsidRPr="00152C5B">
              <w:rPr>
                <w:color w:val="000000"/>
                <w:sz w:val="28"/>
                <w:szCs w:val="28"/>
              </w:rPr>
              <w:t xml:space="preserve"> характеру у </w:t>
            </w:r>
            <w:proofErr w:type="spellStart"/>
            <w:r w:rsidRPr="00152C5B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152C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C5B">
              <w:rPr>
                <w:color w:val="000000"/>
                <w:sz w:val="28"/>
                <w:szCs w:val="28"/>
              </w:rPr>
              <w:t>господарської</w:t>
            </w:r>
            <w:proofErr w:type="spellEnd"/>
            <w:r w:rsidRPr="00152C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C5B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D1076F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9E3916" w:rsidRPr="0043143B" w:rsidTr="00D1076F">
        <w:trPr>
          <w:trHeight w:val="4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16" w:rsidRPr="00E4677A" w:rsidRDefault="009E3916" w:rsidP="00D46A20">
            <w:pPr>
              <w:spacing w:before="60" w:after="60" w:line="24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4677A"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3143B">
              <w:rPr>
                <w:sz w:val="28"/>
                <w:szCs w:val="28"/>
                <w:lang w:val="uk-UA"/>
              </w:rPr>
              <w:t xml:space="preserve">Заява </w:t>
            </w:r>
            <w:r w:rsidR="001F760D" w:rsidRPr="001F760D">
              <w:rPr>
                <w:sz w:val="28"/>
                <w:szCs w:val="22"/>
                <w:lang w:val="uk-UA" w:eastAsia="en-US"/>
              </w:rPr>
              <w:t>про</w:t>
            </w:r>
            <w:r w:rsidR="001F760D" w:rsidRPr="001F760D">
              <w:rPr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="001F760D" w:rsidRPr="001F760D">
              <w:rPr>
                <w:sz w:val="28"/>
                <w:szCs w:val="22"/>
                <w:lang w:val="uk-UA" w:eastAsia="en-US"/>
              </w:rPr>
              <w:t>державну</w:t>
            </w:r>
            <w:r w:rsidR="001F760D" w:rsidRPr="001F760D">
              <w:rPr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="001F760D" w:rsidRPr="001F760D">
              <w:rPr>
                <w:sz w:val="28"/>
                <w:szCs w:val="22"/>
                <w:lang w:val="uk-UA" w:eastAsia="en-US"/>
              </w:rPr>
              <w:t>реєстрацію</w:t>
            </w:r>
            <w:r w:rsidR="001F760D" w:rsidRPr="001F760D">
              <w:rPr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="001F760D" w:rsidRPr="001F760D">
              <w:rPr>
                <w:sz w:val="28"/>
                <w:szCs w:val="22"/>
                <w:lang w:val="uk-UA" w:eastAsia="en-US"/>
              </w:rPr>
              <w:t>небезпечного</w:t>
            </w:r>
            <w:r w:rsidR="001F760D" w:rsidRPr="001F760D">
              <w:rPr>
                <w:spacing w:val="1"/>
                <w:sz w:val="28"/>
                <w:szCs w:val="22"/>
                <w:lang w:val="uk-UA" w:eastAsia="en-US"/>
              </w:rPr>
              <w:t xml:space="preserve"> </w:t>
            </w:r>
            <w:proofErr w:type="spellStart"/>
            <w:r w:rsidR="001F760D" w:rsidRPr="001F760D">
              <w:rPr>
                <w:sz w:val="28"/>
                <w:szCs w:val="22"/>
                <w:lang w:val="uk-UA" w:eastAsia="en-US"/>
              </w:rPr>
              <w:t>фактора</w:t>
            </w:r>
            <w:proofErr w:type="spellEnd"/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3143B">
              <w:rPr>
                <w:color w:val="000000"/>
                <w:sz w:val="28"/>
                <w:szCs w:val="28"/>
              </w:rPr>
              <w:t>Перелік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D" w:rsidRDefault="009E3916" w:rsidP="00D46A20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3143B">
              <w:rPr>
                <w:sz w:val="28"/>
                <w:szCs w:val="28"/>
                <w:lang w:val="uk-UA"/>
              </w:rPr>
              <w:t>Заява</w:t>
            </w:r>
            <w:r w:rsidR="001F760D">
              <w:rPr>
                <w:sz w:val="28"/>
                <w:szCs w:val="28"/>
                <w:lang w:val="uk-UA"/>
              </w:rPr>
              <w:t>, у якій зазначається: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F760D">
              <w:rPr>
                <w:sz w:val="28"/>
                <w:szCs w:val="28"/>
                <w:lang w:val="uk-UA"/>
              </w:rPr>
              <w:t>1) повне та скорочене найменування заявника;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2" w:name="n700"/>
            <w:bookmarkEnd w:id="2"/>
            <w:r w:rsidRPr="001F760D">
              <w:rPr>
                <w:sz w:val="28"/>
                <w:szCs w:val="28"/>
                <w:lang w:val="uk-UA"/>
              </w:rPr>
              <w:t>2) адреса місцезнаходження заявника;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3" w:name="n701"/>
            <w:bookmarkEnd w:id="3"/>
            <w:r w:rsidRPr="001F760D">
              <w:rPr>
                <w:sz w:val="28"/>
                <w:szCs w:val="28"/>
                <w:lang w:val="uk-UA"/>
              </w:rPr>
              <w:t>3) номер телефону та адреса електронної пошти;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4" w:name="n702"/>
            <w:bookmarkEnd w:id="4"/>
            <w:r w:rsidRPr="001F760D">
              <w:rPr>
                <w:sz w:val="28"/>
                <w:szCs w:val="28"/>
                <w:lang w:val="uk-UA"/>
              </w:rPr>
              <w:t>4) прізвище, ім’я, по батькові (за наявності) уповноваженої особи;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5" w:name="n703"/>
            <w:bookmarkEnd w:id="5"/>
            <w:r w:rsidRPr="001F760D">
              <w:rPr>
                <w:sz w:val="28"/>
                <w:szCs w:val="28"/>
                <w:lang w:val="uk-UA"/>
              </w:rPr>
              <w:t>5) комерційна назва хімічної речовини чи речовини біологічного походження;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6" w:name="n704"/>
            <w:bookmarkEnd w:id="6"/>
            <w:r w:rsidRPr="001F760D">
              <w:rPr>
                <w:sz w:val="28"/>
                <w:szCs w:val="28"/>
                <w:lang w:val="uk-UA"/>
              </w:rPr>
              <w:lastRenderedPageBreak/>
              <w:t>6) хімічна назва (для хімічної речовини) відповідно до номенклатури Міжнародного союзу теоретичної і прикладної хімії (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Union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Pure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Applied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Chemistry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- IUPAC) та інших міжнародних класифікаторів;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7" w:name="n705"/>
            <w:bookmarkEnd w:id="7"/>
            <w:r w:rsidRPr="001F760D">
              <w:rPr>
                <w:sz w:val="28"/>
                <w:szCs w:val="28"/>
                <w:lang w:val="uk-UA"/>
              </w:rPr>
              <w:t>7) реєстраційний номер хімічної сполуки Служби підготовки аналітичних публікацій з хімії (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Chemical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Abstracts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Service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- CAS) та/або номер Європейського кадастру існуючих комерційних хімічних речовин (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European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Inventory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Existing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Commercial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Chemical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Substances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- EINECS);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8" w:name="n706"/>
            <w:bookmarkEnd w:id="8"/>
            <w:r w:rsidRPr="001F760D">
              <w:rPr>
                <w:sz w:val="28"/>
                <w:szCs w:val="28"/>
                <w:lang w:val="uk-UA"/>
              </w:rPr>
              <w:t xml:space="preserve">8) сфера застосування небезпечного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фактора</w:t>
            </w:r>
            <w:proofErr w:type="spellEnd"/>
            <w:r w:rsidR="00C459B3">
              <w:rPr>
                <w:sz w:val="28"/>
                <w:szCs w:val="28"/>
                <w:lang w:val="uk-UA"/>
              </w:rPr>
              <w:t>.</w:t>
            </w:r>
          </w:p>
          <w:p w:rsid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9" w:name="n707"/>
            <w:bookmarkEnd w:id="9"/>
            <w:r w:rsidRPr="001F760D">
              <w:rPr>
                <w:sz w:val="28"/>
                <w:szCs w:val="22"/>
                <w:lang w:val="uk-UA" w:eastAsia="en-US"/>
              </w:rPr>
              <w:t>До заяви додаються такі документи: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F760D">
              <w:rPr>
                <w:sz w:val="28"/>
                <w:szCs w:val="28"/>
                <w:lang w:val="uk-UA"/>
              </w:rPr>
              <w:t xml:space="preserve">) перелік конфіденційної інформації, що не може бути оприлюднена або повідомлена на вимогу третіх осіб (до конфіденційної не може належати інформація щодо властивостей небезпечного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фактора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>, що становлять небезпеку для здоров’я людини та навколишнього природного середовища, а також відомості, що включаються до реєстру);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10" w:name="n708"/>
            <w:bookmarkEnd w:id="10"/>
            <w:r>
              <w:rPr>
                <w:sz w:val="28"/>
                <w:szCs w:val="28"/>
                <w:lang w:val="uk-UA"/>
              </w:rPr>
              <w:t>2</w:t>
            </w:r>
            <w:r w:rsidRPr="001F760D">
              <w:rPr>
                <w:sz w:val="28"/>
                <w:szCs w:val="28"/>
                <w:lang w:val="uk-UA"/>
              </w:rPr>
              <w:t xml:space="preserve">) складений українською мовою та затверджений заявником паспорт безпеки небезпечного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фактора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 xml:space="preserve"> (далі - паспорт безпеки) у паперовій та електронній формах. Основні вимоги до паспорта безпеки розробляються на основі актів законодавства Європейського Союзу та затверджуються центральним органом виконавчої влади, що забезпечує формування державної політики у сфері охорони здоров’я;</w:t>
            </w:r>
          </w:p>
          <w:p w:rsidR="001F760D" w:rsidRPr="001F760D" w:rsidRDefault="001F760D" w:rsidP="001F760D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11" w:name="n709"/>
            <w:bookmarkEnd w:id="11"/>
            <w:r>
              <w:rPr>
                <w:sz w:val="28"/>
                <w:szCs w:val="28"/>
                <w:lang w:val="uk-UA"/>
              </w:rPr>
              <w:t>3</w:t>
            </w:r>
            <w:r w:rsidRPr="001F760D">
              <w:rPr>
                <w:sz w:val="28"/>
                <w:szCs w:val="28"/>
                <w:lang w:val="uk-UA"/>
              </w:rPr>
              <w:t xml:space="preserve">) ідентифікація аналогічності небезпечного </w:t>
            </w:r>
            <w:proofErr w:type="spellStart"/>
            <w:r w:rsidRPr="001F760D">
              <w:rPr>
                <w:sz w:val="28"/>
                <w:szCs w:val="28"/>
                <w:lang w:val="uk-UA"/>
              </w:rPr>
              <w:t>фактора</w:t>
            </w:r>
            <w:proofErr w:type="spellEnd"/>
            <w:r w:rsidRPr="001F760D">
              <w:rPr>
                <w:sz w:val="28"/>
                <w:szCs w:val="28"/>
                <w:lang w:val="uk-UA"/>
              </w:rPr>
              <w:t>;</w:t>
            </w:r>
          </w:p>
          <w:p w:rsidR="009E3916" w:rsidRPr="0043143B" w:rsidRDefault="001F760D" w:rsidP="00C459B3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12" w:name="n710"/>
            <w:bookmarkEnd w:id="12"/>
            <w:r>
              <w:rPr>
                <w:sz w:val="28"/>
                <w:szCs w:val="28"/>
                <w:lang w:val="uk-UA"/>
              </w:rPr>
              <w:t>4</w:t>
            </w:r>
            <w:r w:rsidRPr="001F760D">
              <w:rPr>
                <w:sz w:val="28"/>
                <w:szCs w:val="28"/>
                <w:lang w:val="uk-UA"/>
              </w:rPr>
              <w:t>) дані щодо класифікації небезпеки та маркування хімічної речовини</w:t>
            </w:r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– поштовим відправленням;</w:t>
            </w:r>
          </w:p>
          <w:p w:rsidR="009E3916" w:rsidRPr="0043143B" w:rsidRDefault="009E3916" w:rsidP="00D46A20">
            <w:pPr>
              <w:spacing w:before="60" w:after="60" w:line="240" w:lineRule="atLeast"/>
              <w:ind w:left="21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</w:rPr>
              <w:t>–</w:t>
            </w:r>
            <w:r w:rsidRPr="0043143B">
              <w:rPr>
                <w:color w:val="000000"/>
                <w:sz w:val="28"/>
                <w:szCs w:val="28"/>
                <w:lang w:val="uk-UA"/>
              </w:rPr>
              <w:t> </w:t>
            </w:r>
            <w:r w:rsidRPr="0043143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електронному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вигляді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3143B">
              <w:rPr>
                <w:color w:val="000000"/>
                <w:sz w:val="28"/>
                <w:szCs w:val="28"/>
              </w:rPr>
              <w:t>в порядку</w:t>
            </w:r>
            <w:proofErr w:type="gramEnd"/>
            <w:r w:rsidRPr="0043143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визначеному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Кабінетом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Міністрів</w:t>
            </w:r>
            <w:proofErr w:type="spellEnd"/>
            <w:r w:rsidRPr="004314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143B">
              <w:rPr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16" w:rsidRPr="0043143B" w:rsidRDefault="009E3916" w:rsidP="00C459B3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Безоплатна </w:t>
            </w:r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Протягом </w:t>
            </w:r>
            <w:r w:rsidR="00C459B3">
              <w:rPr>
                <w:color w:val="000000"/>
                <w:sz w:val="28"/>
                <w:szCs w:val="28"/>
                <w:lang w:val="uk-UA"/>
              </w:rPr>
              <w:t>60</w:t>
            </w: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 робочих днів </w:t>
            </w:r>
          </w:p>
        </w:tc>
      </w:tr>
      <w:tr w:rsidR="009E3916" w:rsidRPr="0043143B" w:rsidTr="00D1076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B3" w:rsidRPr="00C459B3" w:rsidRDefault="00C459B3" w:rsidP="00C459B3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59B3">
              <w:rPr>
                <w:color w:val="000000"/>
                <w:sz w:val="28"/>
                <w:szCs w:val="28"/>
                <w:lang w:val="uk-UA"/>
              </w:rPr>
              <w:t xml:space="preserve">Підставами для відмови у державній реєстрації небезпечного </w:t>
            </w:r>
            <w:proofErr w:type="spellStart"/>
            <w:r w:rsidRPr="00C459B3">
              <w:rPr>
                <w:color w:val="000000"/>
                <w:sz w:val="28"/>
                <w:szCs w:val="28"/>
                <w:lang w:val="uk-UA"/>
              </w:rPr>
              <w:t>фактора</w:t>
            </w:r>
            <w:proofErr w:type="spellEnd"/>
            <w:r w:rsidRPr="00C459B3">
              <w:rPr>
                <w:color w:val="000000"/>
                <w:sz w:val="28"/>
                <w:szCs w:val="28"/>
                <w:lang w:val="uk-UA"/>
              </w:rPr>
              <w:t xml:space="preserve"> є:</w:t>
            </w:r>
          </w:p>
          <w:p w:rsidR="00C459B3" w:rsidRPr="00C459B3" w:rsidRDefault="00C459B3" w:rsidP="00C459B3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13" w:name="n715"/>
            <w:bookmarkEnd w:id="13"/>
            <w:r w:rsidRPr="00C459B3">
              <w:rPr>
                <w:color w:val="000000"/>
                <w:sz w:val="28"/>
                <w:szCs w:val="28"/>
                <w:lang w:val="uk-UA"/>
              </w:rPr>
              <w:t>1) порушення вимог до оформлення і змісту документів та/або подання їх у неповному обсязі;</w:t>
            </w:r>
          </w:p>
          <w:p w:rsidR="00C459B3" w:rsidRPr="00C459B3" w:rsidRDefault="00C459B3" w:rsidP="00C459B3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14" w:name="n716"/>
            <w:bookmarkEnd w:id="14"/>
            <w:r w:rsidRPr="00C459B3">
              <w:rPr>
                <w:color w:val="000000"/>
                <w:sz w:val="28"/>
                <w:szCs w:val="28"/>
                <w:lang w:val="uk-UA"/>
              </w:rPr>
              <w:t>2) виявлення в документах, поданих суб’єктом господарювання, недостовірних відомостей;</w:t>
            </w:r>
          </w:p>
          <w:p w:rsidR="009E3916" w:rsidRPr="0043143B" w:rsidRDefault="00C459B3" w:rsidP="00C459B3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15" w:name="n717"/>
            <w:bookmarkEnd w:id="15"/>
            <w:r w:rsidRPr="00C459B3">
              <w:rPr>
                <w:color w:val="000000"/>
                <w:sz w:val="28"/>
                <w:szCs w:val="28"/>
                <w:lang w:val="uk-UA"/>
              </w:rPr>
              <w:t xml:space="preserve">3) включення небезпечного </w:t>
            </w:r>
            <w:proofErr w:type="spellStart"/>
            <w:r w:rsidRPr="00C459B3">
              <w:rPr>
                <w:color w:val="000000"/>
                <w:sz w:val="28"/>
                <w:szCs w:val="28"/>
                <w:lang w:val="uk-UA"/>
              </w:rPr>
              <w:t>фактора</w:t>
            </w:r>
            <w:proofErr w:type="spellEnd"/>
            <w:r w:rsidRPr="00C459B3">
              <w:rPr>
                <w:color w:val="000000"/>
                <w:sz w:val="28"/>
                <w:szCs w:val="28"/>
                <w:lang w:val="uk-UA"/>
              </w:rPr>
              <w:t xml:space="preserve"> до переліку небезпечних речовин, заборонених для застосування в Україні, що затверджується Кабінетом Міністрів України</w:t>
            </w:r>
          </w:p>
        </w:tc>
      </w:tr>
      <w:tr w:rsidR="009E3916" w:rsidRPr="0043143B" w:rsidTr="00D1076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Прийняття рішення про </w:t>
            </w:r>
            <w:r w:rsidR="00C459B3">
              <w:rPr>
                <w:color w:val="000000"/>
                <w:sz w:val="28"/>
                <w:szCs w:val="28"/>
                <w:lang w:val="uk-UA"/>
              </w:rPr>
              <w:t xml:space="preserve">державну реєстрацію небезпечного </w:t>
            </w:r>
            <w:proofErr w:type="spellStart"/>
            <w:r w:rsidR="00C459B3">
              <w:rPr>
                <w:color w:val="000000"/>
                <w:sz w:val="28"/>
                <w:szCs w:val="28"/>
                <w:lang w:val="uk-UA"/>
              </w:rPr>
              <w:t>фактора</w:t>
            </w:r>
            <w:proofErr w:type="spellEnd"/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C459B3" w:rsidRPr="00C459B3">
              <w:rPr>
                <w:sz w:val="28"/>
                <w:szCs w:val="28"/>
                <w:lang w:val="uk-UA"/>
              </w:rPr>
              <w:t xml:space="preserve">на підставі наказу </w:t>
            </w:r>
            <w:r w:rsidRPr="0043143B">
              <w:rPr>
                <w:color w:val="000000"/>
                <w:sz w:val="28"/>
                <w:szCs w:val="28"/>
                <w:lang w:val="uk-UA"/>
              </w:rPr>
              <w:t>затверджен</w:t>
            </w:r>
            <w:r w:rsidR="00C459B3"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 Міністерством охорони здоров’</w:t>
            </w:r>
            <w:r w:rsidR="00F13F66">
              <w:rPr>
                <w:color w:val="000000"/>
                <w:sz w:val="28"/>
                <w:szCs w:val="28"/>
                <w:lang w:val="uk-UA"/>
              </w:rPr>
              <w:t>я</w:t>
            </w:r>
            <w:r w:rsidRPr="0043143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E3916" w:rsidRPr="0043143B" w:rsidTr="00D1076F">
        <w:trPr>
          <w:trHeight w:val="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9E3916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43B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16" w:rsidRPr="0043143B" w:rsidRDefault="00C459B3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59B3">
              <w:rPr>
                <w:sz w:val="28"/>
                <w:szCs w:val="28"/>
                <w:lang w:val="uk-UA"/>
              </w:rPr>
              <w:t xml:space="preserve">Інформація про </w:t>
            </w:r>
            <w:r>
              <w:rPr>
                <w:sz w:val="28"/>
                <w:szCs w:val="28"/>
                <w:lang w:val="uk-UA"/>
              </w:rPr>
              <w:t>небезпечний фактор</w:t>
            </w:r>
            <w:r w:rsidRPr="00C459B3">
              <w:rPr>
                <w:sz w:val="28"/>
                <w:szCs w:val="28"/>
                <w:lang w:val="uk-UA"/>
              </w:rPr>
              <w:t xml:space="preserve"> вноситься до </w:t>
            </w:r>
            <w:r>
              <w:rPr>
                <w:sz w:val="28"/>
                <w:szCs w:val="28"/>
                <w:lang w:val="uk-UA"/>
              </w:rPr>
              <w:t>Державного р</w:t>
            </w:r>
            <w:r w:rsidRPr="00C459B3">
              <w:rPr>
                <w:sz w:val="28"/>
                <w:szCs w:val="28"/>
                <w:lang w:val="uk-UA"/>
              </w:rPr>
              <w:t>еєстру на підставі наказу МОЗ про державну реєстрацію небезпечних факторів</w:t>
            </w:r>
          </w:p>
        </w:tc>
      </w:tr>
    </w:tbl>
    <w:p w:rsidR="009E3916" w:rsidRDefault="009E3916" w:rsidP="009E3916">
      <w:pPr>
        <w:spacing w:before="100" w:after="100"/>
        <w:ind w:firstLine="708"/>
        <w:jc w:val="both"/>
        <w:rPr>
          <w:color w:val="FFFFFF" w:themeColor="background1"/>
          <w:lang w:val="uk-UA"/>
        </w:rPr>
      </w:pPr>
    </w:p>
    <w:p w:rsidR="009E3916" w:rsidRDefault="009E3916" w:rsidP="00DE7BD7">
      <w:pPr>
        <w:spacing w:before="100" w:after="100"/>
        <w:ind w:firstLine="709"/>
        <w:contextualSpacing/>
        <w:jc w:val="both"/>
        <w:rPr>
          <w:color w:val="1D1D1B"/>
        </w:rPr>
      </w:pPr>
      <w:proofErr w:type="spellStart"/>
      <w:r>
        <w:rPr>
          <w:i/>
        </w:rPr>
        <w:t>Примітка</w:t>
      </w:r>
      <w:proofErr w:type="spellEnd"/>
      <w:r>
        <w:rPr>
          <w:i/>
        </w:rPr>
        <w:t>.</w:t>
      </w:r>
      <w:r>
        <w:t xml:space="preserve"> </w:t>
      </w:r>
      <w:proofErr w:type="spellStart"/>
      <w:r w:rsidRPr="006D12A6">
        <w:rPr>
          <w:color w:val="1D1D1B"/>
        </w:rPr>
        <w:t>Прийом</w:t>
      </w:r>
      <w:proofErr w:type="spellEnd"/>
      <w:r w:rsidRPr="006D12A6">
        <w:rPr>
          <w:color w:val="1D1D1B"/>
        </w:rPr>
        <w:t xml:space="preserve"> та </w:t>
      </w:r>
      <w:proofErr w:type="spellStart"/>
      <w:r w:rsidRPr="006D12A6">
        <w:rPr>
          <w:color w:val="1D1D1B"/>
        </w:rPr>
        <w:t>реєстрація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заяв</w:t>
      </w:r>
      <w:proofErr w:type="spellEnd"/>
      <w:r w:rsidRPr="006D12A6">
        <w:rPr>
          <w:color w:val="1D1D1B"/>
        </w:rPr>
        <w:t xml:space="preserve"> не </w:t>
      </w:r>
      <w:proofErr w:type="spellStart"/>
      <w:r w:rsidRPr="006D12A6">
        <w:rPr>
          <w:color w:val="1D1D1B"/>
        </w:rPr>
        <w:t>здійснюється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під</w:t>
      </w:r>
      <w:proofErr w:type="spellEnd"/>
      <w:r w:rsidRPr="006D12A6">
        <w:rPr>
          <w:color w:val="1D1D1B"/>
        </w:rPr>
        <w:t xml:space="preserve"> час </w:t>
      </w:r>
      <w:proofErr w:type="spellStart"/>
      <w:r w:rsidRPr="006D12A6">
        <w:rPr>
          <w:color w:val="1D1D1B"/>
        </w:rPr>
        <w:t>повітряних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тривог</w:t>
      </w:r>
      <w:proofErr w:type="spellEnd"/>
      <w:r w:rsidRPr="006D12A6">
        <w:rPr>
          <w:color w:val="1D1D1B"/>
        </w:rPr>
        <w:t xml:space="preserve"> та при </w:t>
      </w:r>
      <w:proofErr w:type="spellStart"/>
      <w:r w:rsidRPr="006D12A6">
        <w:rPr>
          <w:color w:val="1D1D1B"/>
        </w:rPr>
        <w:t>відсутності</w:t>
      </w:r>
      <w:proofErr w:type="spellEnd"/>
      <w:r w:rsidRPr="006D12A6">
        <w:rPr>
          <w:color w:val="1D1D1B"/>
        </w:rPr>
        <w:t xml:space="preserve"> </w:t>
      </w:r>
      <w:r w:rsidRPr="006D12A6">
        <w:rPr>
          <w:color w:val="1D1D1B"/>
          <w:lang w:val="uk-UA"/>
        </w:rPr>
        <w:t>електропостачання,</w:t>
      </w:r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зв’язку</w:t>
      </w:r>
      <w:proofErr w:type="spellEnd"/>
      <w:r w:rsidRPr="006D12A6">
        <w:rPr>
          <w:color w:val="1D1D1B"/>
        </w:rPr>
        <w:t xml:space="preserve">, </w:t>
      </w:r>
      <w:r w:rsidRPr="006D12A6">
        <w:rPr>
          <w:color w:val="1D1D1B"/>
          <w:lang w:val="uk-UA"/>
        </w:rPr>
        <w:t xml:space="preserve">з’єднання з </w:t>
      </w:r>
      <w:r>
        <w:rPr>
          <w:color w:val="1D1D1B"/>
          <w:lang w:val="uk-UA"/>
        </w:rPr>
        <w:t>мережею І</w:t>
      </w:r>
      <w:proofErr w:type="spellStart"/>
      <w:r w:rsidRPr="006D12A6">
        <w:rPr>
          <w:color w:val="1D1D1B"/>
        </w:rPr>
        <w:t>нтернет</w:t>
      </w:r>
      <w:proofErr w:type="spellEnd"/>
      <w:r w:rsidRPr="006D12A6">
        <w:rPr>
          <w:color w:val="1D1D1B"/>
          <w:lang w:val="uk-UA"/>
        </w:rPr>
        <w:t>.</w:t>
      </w:r>
    </w:p>
    <w:p w:rsidR="00F37AB7" w:rsidRDefault="00F37AB7" w:rsidP="00F37AB7">
      <w:pPr>
        <w:spacing w:before="60" w:after="60" w:line="240" w:lineRule="atLeast"/>
        <w:contextualSpacing/>
        <w:jc w:val="both"/>
        <w:rPr>
          <w:b/>
          <w:sz w:val="28"/>
          <w:szCs w:val="28"/>
          <w:lang w:val="uk-UA"/>
        </w:rPr>
      </w:pPr>
    </w:p>
    <w:p w:rsidR="00F37AB7" w:rsidRDefault="00F37AB7" w:rsidP="00F37AB7">
      <w:pPr>
        <w:spacing w:before="60" w:after="60" w:line="240" w:lineRule="atLeast"/>
        <w:contextualSpacing/>
        <w:jc w:val="both"/>
        <w:rPr>
          <w:b/>
          <w:sz w:val="28"/>
          <w:szCs w:val="28"/>
          <w:lang w:val="uk-UA"/>
        </w:rPr>
      </w:pPr>
      <w:bookmarkStart w:id="16" w:name="_Hlk165553144"/>
      <w:r w:rsidRPr="00F37AB7">
        <w:rPr>
          <w:b/>
          <w:sz w:val="28"/>
          <w:szCs w:val="28"/>
          <w:lang w:val="uk-UA"/>
        </w:rPr>
        <w:t xml:space="preserve">Директор Департаменту </w:t>
      </w:r>
    </w:p>
    <w:p w:rsidR="00F37AB7" w:rsidRDefault="00F37AB7" w:rsidP="00F37AB7">
      <w:pPr>
        <w:spacing w:before="60" w:after="60" w:line="240" w:lineRule="atLeast"/>
        <w:contextualSpacing/>
        <w:jc w:val="both"/>
        <w:rPr>
          <w:b/>
          <w:sz w:val="28"/>
          <w:szCs w:val="28"/>
          <w:lang w:val="uk-UA"/>
        </w:rPr>
      </w:pPr>
      <w:r w:rsidRPr="00F37AB7">
        <w:rPr>
          <w:b/>
          <w:sz w:val="28"/>
          <w:szCs w:val="28"/>
          <w:lang w:val="uk-UA"/>
        </w:rPr>
        <w:t xml:space="preserve">громадського здоров'я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37AB7">
        <w:rPr>
          <w:b/>
          <w:sz w:val="28"/>
          <w:szCs w:val="28"/>
          <w:lang w:val="uk-UA"/>
        </w:rPr>
        <w:t>Олексій ДАНИЛЕНКО</w:t>
      </w:r>
    </w:p>
    <w:bookmarkEnd w:id="16"/>
    <w:p w:rsidR="00F37AB7" w:rsidRDefault="00F37AB7" w:rsidP="00F37AB7">
      <w:pPr>
        <w:spacing w:before="60" w:after="60" w:line="240" w:lineRule="atLeast"/>
        <w:contextualSpacing/>
        <w:jc w:val="both"/>
        <w:rPr>
          <w:b/>
          <w:sz w:val="28"/>
          <w:szCs w:val="28"/>
          <w:lang w:val="uk-UA"/>
        </w:rPr>
      </w:pPr>
    </w:p>
    <w:p w:rsidR="00194A24" w:rsidRDefault="00056FA7"/>
    <w:sectPr w:rsidR="00194A24" w:rsidSect="005E07A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FA7" w:rsidRDefault="00056FA7">
      <w:r>
        <w:separator/>
      </w:r>
    </w:p>
  </w:endnote>
  <w:endnote w:type="continuationSeparator" w:id="0">
    <w:p w:rsidR="00056FA7" w:rsidRDefault="0005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FA7" w:rsidRDefault="00056FA7">
      <w:r>
        <w:separator/>
      </w:r>
    </w:p>
  </w:footnote>
  <w:footnote w:type="continuationSeparator" w:id="0">
    <w:p w:rsidR="00056FA7" w:rsidRDefault="0005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548187"/>
      <w:docPartObj>
        <w:docPartGallery w:val="Page Numbers (Top of Page)"/>
        <w:docPartUnique/>
      </w:docPartObj>
    </w:sdtPr>
    <w:sdtEndPr/>
    <w:sdtContent>
      <w:p w:rsidR="005E07A2" w:rsidRDefault="009E39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E07A2" w:rsidRDefault="00056F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16"/>
    <w:rsid w:val="00013D6B"/>
    <w:rsid w:val="00056FA7"/>
    <w:rsid w:val="00074C65"/>
    <w:rsid w:val="00134D8B"/>
    <w:rsid w:val="00152C5B"/>
    <w:rsid w:val="0018610E"/>
    <w:rsid w:val="001F760D"/>
    <w:rsid w:val="0022038D"/>
    <w:rsid w:val="003659A8"/>
    <w:rsid w:val="004003C0"/>
    <w:rsid w:val="004D44E6"/>
    <w:rsid w:val="005E0818"/>
    <w:rsid w:val="006366CB"/>
    <w:rsid w:val="00696831"/>
    <w:rsid w:val="006D5E13"/>
    <w:rsid w:val="007D51FC"/>
    <w:rsid w:val="008F1577"/>
    <w:rsid w:val="0091266B"/>
    <w:rsid w:val="009B2C41"/>
    <w:rsid w:val="009E3916"/>
    <w:rsid w:val="00AE43CA"/>
    <w:rsid w:val="00BC03E2"/>
    <w:rsid w:val="00BF5ED7"/>
    <w:rsid w:val="00C459B3"/>
    <w:rsid w:val="00C710F8"/>
    <w:rsid w:val="00C77530"/>
    <w:rsid w:val="00D1076F"/>
    <w:rsid w:val="00DE7BD7"/>
    <w:rsid w:val="00E4677A"/>
    <w:rsid w:val="00EE2FA0"/>
    <w:rsid w:val="00F13F66"/>
    <w:rsid w:val="00F37AB7"/>
    <w:rsid w:val="00F519F6"/>
    <w:rsid w:val="00F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41EF"/>
  <w15:chartTrackingRefBased/>
  <w15:docId w15:val="{C8BBFC42-F812-47AC-B2C6-FA2C8AA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916"/>
    <w:pPr>
      <w:spacing w:before="100" w:beforeAutospacing="1" w:after="100" w:afterAutospacing="1"/>
    </w:pPr>
  </w:style>
  <w:style w:type="paragraph" w:customStyle="1" w:styleId="3131">
    <w:name w:val="3131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9E3916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uiPriority w:val="59"/>
    <w:rsid w:val="009E391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E391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E39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z@moz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10</cp:revision>
  <cp:lastPrinted>2024-05-02T12:48:00Z</cp:lastPrinted>
  <dcterms:created xsi:type="dcterms:W3CDTF">2024-05-02T12:30:00Z</dcterms:created>
  <dcterms:modified xsi:type="dcterms:W3CDTF">2024-05-06T12:27:00Z</dcterms:modified>
</cp:coreProperties>
</file>